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61" w:rsidRDefault="00F91561" w:rsidP="00AA7523">
      <w:pPr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    ПрАТ «Рівнеліфт» </w:t>
      </w:r>
      <w:r>
        <w:rPr>
          <w:bCs/>
          <w:lang w:val="uk-UA"/>
        </w:rPr>
        <w:t xml:space="preserve">(код за ЄДРПОУ 05523808; місцезнаходження: </w:t>
      </w:r>
      <w:smartTag w:uri="urn:schemas-microsoft-com:office:smarttags" w:element="metricconverter">
        <w:smartTagPr>
          <w:attr w:name="ProductID" w:val="33005, м"/>
        </w:smartTagPr>
        <w:r>
          <w:rPr>
            <w:bCs/>
            <w:lang w:val="uk-UA"/>
          </w:rPr>
          <w:t>33005, м</w:t>
        </w:r>
      </w:smartTag>
      <w:r>
        <w:rPr>
          <w:bCs/>
          <w:lang w:val="uk-UA"/>
        </w:rPr>
        <w:t>.Рівне, вул.Боярка, 40А) повідомляє про скликання чергових загальних зборів акціонерів 11 квітня 2018 року об 11 годині.</w:t>
      </w:r>
    </w:p>
    <w:p w:rsidR="00F91561" w:rsidRPr="006A11F1" w:rsidRDefault="00F91561" w:rsidP="006A11F1">
      <w:pPr>
        <w:rPr>
          <w:bCs/>
          <w:lang w:val="uk-UA"/>
        </w:rPr>
      </w:pPr>
    </w:p>
    <w:p w:rsidR="00F91561" w:rsidRPr="006A11F1" w:rsidRDefault="00F91561" w:rsidP="006A11F1">
      <w:pPr>
        <w:jc w:val="center"/>
        <w:rPr>
          <w:sz w:val="32"/>
          <w:szCs w:val="32"/>
          <w:lang w:val="uk-UA"/>
        </w:rPr>
      </w:pPr>
      <w:r w:rsidRPr="006A11F1">
        <w:rPr>
          <w:sz w:val="32"/>
          <w:szCs w:val="32"/>
          <w:lang w:val="uk-UA"/>
        </w:rPr>
        <w:t>Порядок денний:</w:t>
      </w:r>
    </w:p>
    <w:p w:rsidR="00F91561" w:rsidRDefault="00F91561" w:rsidP="006A11F1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Обрання лічильної комісії.</w:t>
      </w:r>
    </w:p>
    <w:p w:rsidR="00F91561" w:rsidRDefault="00F91561" w:rsidP="00A92D5E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Вибори голови та секретаря зборів.</w:t>
      </w:r>
    </w:p>
    <w:p w:rsidR="00F91561" w:rsidRPr="00A92D5E" w:rsidRDefault="00F91561" w:rsidP="00A92D5E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Затвердження регламенту зборів.</w:t>
      </w:r>
    </w:p>
    <w:p w:rsidR="00F91561" w:rsidRDefault="00F91561" w:rsidP="006A11F1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Звіт правління.</w:t>
      </w:r>
    </w:p>
    <w:p w:rsidR="00F91561" w:rsidRDefault="00F91561" w:rsidP="00AA7523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Затвердження річної фінансової звітності.</w:t>
      </w:r>
    </w:p>
    <w:p w:rsidR="00F91561" w:rsidRDefault="00F91561" w:rsidP="006A11F1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Порядок покриття збитків.</w:t>
      </w:r>
    </w:p>
    <w:p w:rsidR="00F91561" w:rsidRDefault="00F91561" w:rsidP="00AF2A27">
      <w:pPr>
        <w:ind w:left="360"/>
        <w:jc w:val="both"/>
        <w:rPr>
          <w:lang w:val="uk-UA"/>
        </w:rPr>
      </w:pPr>
      <w:r>
        <w:rPr>
          <w:lang w:val="uk-UA"/>
        </w:rPr>
        <w:t xml:space="preserve">Місце проведення загальних зборів: </w:t>
      </w:r>
      <w:smartTag w:uri="urn:schemas-microsoft-com:office:smarttags" w:element="metricconverter">
        <w:smartTagPr>
          <w:attr w:name="ProductID" w:val="33005 м"/>
        </w:smartTagPr>
        <w:r>
          <w:rPr>
            <w:lang w:val="uk-UA"/>
          </w:rPr>
          <w:t>33005 м</w:t>
        </w:r>
      </w:smartTag>
      <w:r>
        <w:rPr>
          <w:lang w:val="uk-UA"/>
        </w:rPr>
        <w:t>. Рівне, вул. Боярка, 40А, кімната №1.</w:t>
      </w:r>
    </w:p>
    <w:p w:rsidR="00F91561" w:rsidRDefault="00F91561" w:rsidP="00136498">
      <w:pPr>
        <w:ind w:left="360"/>
        <w:rPr>
          <w:lang w:val="uk-UA"/>
        </w:rPr>
      </w:pPr>
      <w:r>
        <w:rPr>
          <w:lang w:val="uk-UA"/>
        </w:rPr>
        <w:t>Реєстрація учасників зборів: 11 квітня 2018 року з 10-00 до 10-50 год. за місцем проведення</w:t>
      </w:r>
    </w:p>
    <w:p w:rsidR="00F91561" w:rsidRPr="00224579" w:rsidRDefault="00F91561" w:rsidP="006052C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зборів, згідно з переліком акціонерів станом на 04 квітня 2018 року. Акціонерам мати при собі паспорт, представникам акціонерів – належним чином оформлені довіреності та паспорт. Представники акціонерів приймають участь в зборах на загальних підставах. Порядок голосування визначається довіреністю. </w:t>
      </w:r>
    </w:p>
    <w:p w:rsidR="00F91561" w:rsidRDefault="00F91561" w:rsidP="006A11F1">
      <w:pPr>
        <w:rPr>
          <w:lang w:val="uk-UA"/>
        </w:rPr>
      </w:pPr>
      <w:r>
        <w:rPr>
          <w:lang w:val="uk-UA"/>
        </w:rPr>
        <w:tab/>
        <w:t>Відкриття зборів: 11 квітня 2018 року об 11-00 год.</w:t>
      </w:r>
    </w:p>
    <w:p w:rsidR="00F91561" w:rsidRDefault="00F91561" w:rsidP="006A11F1">
      <w:pPr>
        <w:rPr>
          <w:lang w:val="uk-UA"/>
        </w:rPr>
      </w:pPr>
      <w:r>
        <w:rPr>
          <w:lang w:val="uk-UA"/>
        </w:rPr>
        <w:tab/>
        <w:t xml:space="preserve">Ознайомлення з матеріалами зборів – особисто в приймальній підприємства (каб. №2) в робочі дні з 9-00 до 10-00 год. В день проведення загальних зборів – за місцем їх проведення.      </w:t>
      </w:r>
    </w:p>
    <w:p w:rsidR="00F91561" w:rsidRDefault="00F91561" w:rsidP="0055662F">
      <w:pPr>
        <w:jc w:val="both"/>
        <w:rPr>
          <w:lang w:val="uk-UA"/>
        </w:rPr>
      </w:pPr>
      <w:r>
        <w:rPr>
          <w:lang w:val="uk-UA"/>
        </w:rPr>
        <w:t xml:space="preserve">           Відповідальна особа – голова правління.</w:t>
      </w:r>
    </w:p>
    <w:p w:rsidR="00F91561" w:rsidRPr="008361ED" w:rsidRDefault="00F91561" w:rsidP="00CE5F5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600DAD">
        <w:rPr>
          <w:lang w:val="uk-UA"/>
        </w:rPr>
        <w:t>Т</w:t>
      </w:r>
      <w:r w:rsidRPr="00600DAD">
        <w:t>овариство до початку загальних зборів зобов’язане надавати письмові відповіді на письмові запитання акціонерів щодо питань, включених до проекту порядку денного загальних зборів</w:t>
      </w:r>
      <w:r>
        <w:rPr>
          <w:lang w:val="uk-UA"/>
        </w:rPr>
        <w:t xml:space="preserve"> </w:t>
      </w:r>
      <w:r w:rsidRPr="00600DAD">
        <w:t>до дати проведення загальних зборів.</w:t>
      </w:r>
      <w:r>
        <w:rPr>
          <w:lang w:val="uk-UA"/>
        </w:rPr>
        <w:t xml:space="preserve"> </w:t>
      </w:r>
      <w:r w:rsidRPr="00600DAD">
        <w:t>Кожний акціонер має право внести пропозиції щодо питань, включених до проекту порядку денного загальних зборів акціонерного товариства.</w:t>
      </w:r>
      <w:r>
        <w:rPr>
          <w:lang w:val="uk-UA"/>
        </w:rPr>
        <w:t xml:space="preserve"> </w:t>
      </w:r>
      <w:bookmarkStart w:id="0" w:name="2__Пропозиції_вносяться_не_пізніше_ніж_з"/>
      <w:bookmarkEnd w:id="0"/>
      <w:r w:rsidRPr="00600DAD">
        <w:t xml:space="preserve">Пропозиції вносяться не пізніше ніж за 20 днів до дати проведення загальних зборів, а щодо кандидатів до складу органів товариства - не пізніше ніж за сім днів. </w:t>
      </w:r>
      <w:r w:rsidRPr="008361ED">
        <w:rPr>
          <w:lang w:val="uk-UA"/>
        </w:rPr>
        <w:t>Пропозиції акціонерів (акціонера), які сукупно є власниками 5 або більше відсотків голосуючих акцій, підлягають обов'язковому включенню до проекту порядку денного.</w:t>
      </w:r>
    </w:p>
    <w:p w:rsidR="00F91561" w:rsidRDefault="00F91561" w:rsidP="006052C7">
      <w:pPr>
        <w:widowControl w:val="0"/>
        <w:autoSpaceDE w:val="0"/>
        <w:autoSpaceDN w:val="0"/>
        <w:adjustRightInd w:val="0"/>
        <w:ind w:firstLine="750"/>
        <w:jc w:val="both"/>
      </w:pPr>
      <w:r w:rsidRPr="0038343C">
        <w:rPr>
          <w:lang w:val="uk-UA"/>
        </w:rPr>
        <w:t>Загальна кількість акцій –</w:t>
      </w:r>
      <w:r>
        <w:rPr>
          <w:lang w:val="uk-UA"/>
        </w:rPr>
        <w:t xml:space="preserve"> 1 032 148</w:t>
      </w:r>
      <w:r w:rsidRPr="0038343C">
        <w:rPr>
          <w:lang w:val="uk-UA"/>
        </w:rPr>
        <w:t xml:space="preserve"> шт. </w:t>
      </w:r>
      <w:r>
        <w:rPr>
          <w:lang w:val="uk-UA"/>
        </w:rPr>
        <w:t xml:space="preserve">Голосуючих акцій - 883 136 шт. </w:t>
      </w:r>
    </w:p>
    <w:p w:rsidR="00F91561" w:rsidRPr="00AF2A27" w:rsidRDefault="00F91561" w:rsidP="006052C7">
      <w:pPr>
        <w:jc w:val="both"/>
      </w:pPr>
      <w:r>
        <w:rPr>
          <w:lang w:val="uk-UA"/>
        </w:rPr>
        <w:t>Адреса веб-сайту:</w:t>
      </w:r>
      <w:r w:rsidRPr="00AF2A27">
        <w:t xml:space="preserve"> </w:t>
      </w:r>
      <w:hyperlink r:id="rId7" w:history="1">
        <w:r w:rsidRPr="0068361B">
          <w:rPr>
            <w:rStyle w:val="Hyperlink"/>
            <w:lang w:val="en-US"/>
          </w:rPr>
          <w:t>www</w:t>
        </w:r>
        <w:r w:rsidRPr="00AF2A27">
          <w:rPr>
            <w:rStyle w:val="Hyperlink"/>
          </w:rPr>
          <w:t>.</w:t>
        </w:r>
        <w:r w:rsidRPr="0068361B">
          <w:rPr>
            <w:rStyle w:val="Hyperlink"/>
            <w:lang w:val="en-US"/>
          </w:rPr>
          <w:t>rivnelift</w:t>
        </w:r>
        <w:r w:rsidRPr="00AF2A27">
          <w:rPr>
            <w:rStyle w:val="Hyperlink"/>
          </w:rPr>
          <w:t>.</w:t>
        </w:r>
        <w:r w:rsidRPr="0068361B">
          <w:rPr>
            <w:rStyle w:val="Hyperlink"/>
            <w:lang w:val="en-US"/>
          </w:rPr>
          <w:t>pat</w:t>
        </w:r>
        <w:r w:rsidRPr="00AF2A27">
          <w:rPr>
            <w:rStyle w:val="Hyperlink"/>
          </w:rPr>
          <w:t>.</w:t>
        </w:r>
        <w:r w:rsidRPr="0068361B">
          <w:rPr>
            <w:rStyle w:val="Hyperlink"/>
            <w:lang w:val="en-US"/>
          </w:rPr>
          <w:t>ua</w:t>
        </w:r>
      </w:hyperlink>
    </w:p>
    <w:p w:rsidR="00F91561" w:rsidRPr="00AF2A27" w:rsidRDefault="00F91561" w:rsidP="006052C7">
      <w:pPr>
        <w:jc w:val="both"/>
        <w:rPr>
          <w:lang w:val="uk-UA"/>
        </w:rPr>
      </w:pPr>
      <w:r>
        <w:rPr>
          <w:lang w:val="uk-UA"/>
        </w:rPr>
        <w:tab/>
        <w:t>Телефон для довідок: (0362)64-03-27.</w:t>
      </w:r>
    </w:p>
    <w:p w:rsidR="00F91561" w:rsidRDefault="00F91561" w:rsidP="006A11F1">
      <w:pPr>
        <w:rPr>
          <w:lang w:val="uk-UA"/>
        </w:rPr>
      </w:pPr>
      <w:r>
        <w:rPr>
          <w:lang w:val="uk-UA"/>
        </w:rPr>
        <w:tab/>
      </w:r>
    </w:p>
    <w:p w:rsidR="00F91561" w:rsidRPr="00136498" w:rsidRDefault="00F91561" w:rsidP="00136498">
      <w:pPr>
        <w:pStyle w:val="Heading1"/>
        <w:jc w:val="left"/>
        <w:rPr>
          <w:b/>
          <w:sz w:val="24"/>
        </w:rPr>
      </w:pPr>
      <w:r>
        <w:rPr>
          <w:b/>
          <w:sz w:val="24"/>
        </w:rPr>
        <w:t xml:space="preserve">       </w:t>
      </w:r>
      <w:r w:rsidRPr="00136498">
        <w:rPr>
          <w:b/>
          <w:sz w:val="24"/>
        </w:rPr>
        <w:t>Основні показники фінансово-господарської діяльності підприємства (тис.грн.)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6"/>
        <w:gridCol w:w="2371"/>
        <w:gridCol w:w="2415"/>
      </w:tblGrid>
      <w:tr w:rsidR="00F91561" w:rsidTr="00A92D5E">
        <w:trPr>
          <w:cantSplit/>
          <w:trHeight w:val="245"/>
        </w:trPr>
        <w:tc>
          <w:tcPr>
            <w:tcW w:w="4676" w:type="dxa"/>
            <w:vMerge w:val="restart"/>
            <w:vAlign w:val="center"/>
          </w:tcPr>
          <w:p w:rsidR="00F91561" w:rsidRDefault="00F91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показника</w:t>
            </w:r>
          </w:p>
        </w:tc>
        <w:tc>
          <w:tcPr>
            <w:tcW w:w="4786" w:type="dxa"/>
            <w:gridSpan w:val="2"/>
            <w:vAlign w:val="center"/>
          </w:tcPr>
          <w:p w:rsidR="00F91561" w:rsidRDefault="00F91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Період</w:t>
            </w:r>
          </w:p>
        </w:tc>
      </w:tr>
      <w:tr w:rsidR="00F91561" w:rsidTr="00A92D5E">
        <w:trPr>
          <w:cantSplit/>
          <w:trHeight w:val="294"/>
        </w:trPr>
        <w:tc>
          <w:tcPr>
            <w:tcW w:w="4676" w:type="dxa"/>
            <w:vMerge/>
            <w:vAlign w:val="center"/>
          </w:tcPr>
          <w:p w:rsidR="00F91561" w:rsidRDefault="00F91561">
            <w:pPr>
              <w:rPr>
                <w:lang w:val="uk-UA"/>
              </w:rPr>
            </w:pPr>
          </w:p>
        </w:tc>
        <w:tc>
          <w:tcPr>
            <w:tcW w:w="2371" w:type="dxa"/>
            <w:vAlign w:val="center"/>
          </w:tcPr>
          <w:p w:rsidR="00F91561" w:rsidRDefault="00F91561" w:rsidP="00A92D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звітний 2017р.</w:t>
            </w:r>
          </w:p>
        </w:tc>
        <w:tc>
          <w:tcPr>
            <w:tcW w:w="2415" w:type="dxa"/>
            <w:vAlign w:val="center"/>
          </w:tcPr>
          <w:p w:rsidR="00F91561" w:rsidRDefault="00F91561" w:rsidP="00626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попередній 2016р.</w:t>
            </w:r>
          </w:p>
        </w:tc>
      </w:tr>
      <w:tr w:rsidR="00F91561" w:rsidTr="00A92D5E">
        <w:trPr>
          <w:cantSplit/>
          <w:trHeight w:val="294"/>
        </w:trPr>
        <w:tc>
          <w:tcPr>
            <w:tcW w:w="4676" w:type="dxa"/>
            <w:vAlign w:val="center"/>
          </w:tcPr>
          <w:p w:rsidR="00F91561" w:rsidRDefault="00F91561">
            <w:pPr>
              <w:rPr>
                <w:lang w:val="uk-UA"/>
              </w:rPr>
            </w:pPr>
            <w:r>
              <w:rPr>
                <w:lang w:val="uk-UA"/>
              </w:rPr>
              <w:t>Усього активів</w:t>
            </w:r>
          </w:p>
        </w:tc>
        <w:tc>
          <w:tcPr>
            <w:tcW w:w="2371" w:type="dxa"/>
            <w:vAlign w:val="center"/>
          </w:tcPr>
          <w:p w:rsidR="00F91561" w:rsidRDefault="00F91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5474</w:t>
            </w:r>
          </w:p>
        </w:tc>
        <w:tc>
          <w:tcPr>
            <w:tcW w:w="2415" w:type="dxa"/>
            <w:vAlign w:val="center"/>
          </w:tcPr>
          <w:p w:rsidR="00F91561" w:rsidRDefault="00F91561" w:rsidP="00040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5799</w:t>
            </w:r>
          </w:p>
        </w:tc>
      </w:tr>
      <w:tr w:rsidR="00F91561" w:rsidTr="00A92D5E">
        <w:trPr>
          <w:cantSplit/>
          <w:trHeight w:val="294"/>
        </w:trPr>
        <w:tc>
          <w:tcPr>
            <w:tcW w:w="4676" w:type="dxa"/>
            <w:vAlign w:val="center"/>
          </w:tcPr>
          <w:p w:rsidR="00F91561" w:rsidRDefault="00F91561">
            <w:pPr>
              <w:rPr>
                <w:lang w:val="uk-UA"/>
              </w:rPr>
            </w:pPr>
            <w:r>
              <w:rPr>
                <w:lang w:val="uk-UA"/>
              </w:rPr>
              <w:t>Основні засоби</w:t>
            </w:r>
          </w:p>
        </w:tc>
        <w:tc>
          <w:tcPr>
            <w:tcW w:w="2371" w:type="dxa"/>
            <w:vAlign w:val="center"/>
          </w:tcPr>
          <w:p w:rsidR="00F91561" w:rsidRDefault="00F91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709</w:t>
            </w:r>
          </w:p>
        </w:tc>
        <w:tc>
          <w:tcPr>
            <w:tcW w:w="2415" w:type="dxa"/>
            <w:vAlign w:val="center"/>
          </w:tcPr>
          <w:p w:rsidR="00F91561" w:rsidRDefault="00F91561" w:rsidP="00040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738</w:t>
            </w:r>
          </w:p>
        </w:tc>
      </w:tr>
      <w:tr w:rsidR="00F91561" w:rsidTr="00A92D5E">
        <w:trPr>
          <w:cantSplit/>
          <w:trHeight w:val="294"/>
        </w:trPr>
        <w:tc>
          <w:tcPr>
            <w:tcW w:w="4676" w:type="dxa"/>
            <w:vAlign w:val="center"/>
          </w:tcPr>
          <w:p w:rsidR="00F91561" w:rsidRDefault="00F91561">
            <w:pPr>
              <w:rPr>
                <w:lang w:val="uk-UA"/>
              </w:rPr>
            </w:pPr>
            <w:r>
              <w:rPr>
                <w:lang w:val="uk-UA"/>
              </w:rPr>
              <w:t>Довгострокові фінансові інвестиції</w:t>
            </w:r>
          </w:p>
        </w:tc>
        <w:tc>
          <w:tcPr>
            <w:tcW w:w="2371" w:type="dxa"/>
            <w:vAlign w:val="center"/>
          </w:tcPr>
          <w:p w:rsidR="00F91561" w:rsidRDefault="00F91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15" w:type="dxa"/>
            <w:vAlign w:val="center"/>
          </w:tcPr>
          <w:p w:rsidR="00F91561" w:rsidRDefault="00F91561" w:rsidP="00040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91561" w:rsidTr="00A92D5E">
        <w:trPr>
          <w:cantSplit/>
          <w:trHeight w:val="294"/>
        </w:trPr>
        <w:tc>
          <w:tcPr>
            <w:tcW w:w="4676" w:type="dxa"/>
            <w:vAlign w:val="center"/>
          </w:tcPr>
          <w:p w:rsidR="00F91561" w:rsidRDefault="00F91561">
            <w:pPr>
              <w:rPr>
                <w:lang w:val="uk-UA"/>
              </w:rPr>
            </w:pPr>
            <w:r>
              <w:rPr>
                <w:lang w:val="uk-UA"/>
              </w:rPr>
              <w:t>Запаси</w:t>
            </w:r>
          </w:p>
        </w:tc>
        <w:tc>
          <w:tcPr>
            <w:tcW w:w="2371" w:type="dxa"/>
            <w:vAlign w:val="center"/>
          </w:tcPr>
          <w:p w:rsidR="00F91561" w:rsidRDefault="00F91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356</w:t>
            </w:r>
          </w:p>
        </w:tc>
        <w:tc>
          <w:tcPr>
            <w:tcW w:w="2415" w:type="dxa"/>
            <w:vAlign w:val="center"/>
          </w:tcPr>
          <w:p w:rsidR="00F91561" w:rsidRDefault="00F91561" w:rsidP="00040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367</w:t>
            </w:r>
          </w:p>
        </w:tc>
      </w:tr>
      <w:tr w:rsidR="00F91561" w:rsidTr="00A92D5E">
        <w:trPr>
          <w:cantSplit/>
          <w:trHeight w:val="294"/>
        </w:trPr>
        <w:tc>
          <w:tcPr>
            <w:tcW w:w="4676" w:type="dxa"/>
            <w:vAlign w:val="center"/>
          </w:tcPr>
          <w:p w:rsidR="00F91561" w:rsidRDefault="00F91561">
            <w:pPr>
              <w:rPr>
                <w:lang w:val="uk-UA"/>
              </w:rPr>
            </w:pPr>
            <w:r>
              <w:rPr>
                <w:lang w:val="uk-UA"/>
              </w:rPr>
              <w:t>Сумарна дебіторська заборгованість</w:t>
            </w:r>
          </w:p>
        </w:tc>
        <w:tc>
          <w:tcPr>
            <w:tcW w:w="2371" w:type="dxa"/>
            <w:vAlign w:val="center"/>
          </w:tcPr>
          <w:p w:rsidR="00F91561" w:rsidRDefault="00F91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4408</w:t>
            </w:r>
          </w:p>
        </w:tc>
        <w:tc>
          <w:tcPr>
            <w:tcW w:w="2415" w:type="dxa"/>
            <w:vAlign w:val="center"/>
          </w:tcPr>
          <w:p w:rsidR="00F91561" w:rsidRDefault="00F91561" w:rsidP="00040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4492</w:t>
            </w:r>
          </w:p>
        </w:tc>
      </w:tr>
      <w:tr w:rsidR="00F91561" w:rsidTr="00A92D5E">
        <w:trPr>
          <w:cantSplit/>
          <w:trHeight w:val="294"/>
        </w:trPr>
        <w:tc>
          <w:tcPr>
            <w:tcW w:w="4676" w:type="dxa"/>
            <w:vAlign w:val="center"/>
          </w:tcPr>
          <w:p w:rsidR="00F91561" w:rsidRDefault="00F91561">
            <w:pPr>
              <w:rPr>
                <w:lang w:val="uk-UA"/>
              </w:rPr>
            </w:pPr>
            <w:r>
              <w:rPr>
                <w:lang w:val="uk-UA"/>
              </w:rPr>
              <w:t>Грошові кошти та їх еквіваленти</w:t>
            </w:r>
          </w:p>
        </w:tc>
        <w:tc>
          <w:tcPr>
            <w:tcW w:w="2371" w:type="dxa"/>
            <w:vAlign w:val="center"/>
          </w:tcPr>
          <w:p w:rsidR="00F91561" w:rsidRDefault="00F91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15" w:type="dxa"/>
            <w:vAlign w:val="center"/>
          </w:tcPr>
          <w:p w:rsidR="00F91561" w:rsidRDefault="00F91561" w:rsidP="00040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</w:p>
        </w:tc>
      </w:tr>
      <w:tr w:rsidR="00F91561" w:rsidTr="00A92D5E">
        <w:trPr>
          <w:cantSplit/>
          <w:trHeight w:val="294"/>
        </w:trPr>
        <w:tc>
          <w:tcPr>
            <w:tcW w:w="4676" w:type="dxa"/>
            <w:vAlign w:val="center"/>
          </w:tcPr>
          <w:p w:rsidR="00F91561" w:rsidRDefault="00F91561">
            <w:pPr>
              <w:rPr>
                <w:lang w:val="uk-UA"/>
              </w:rPr>
            </w:pPr>
            <w:r>
              <w:rPr>
                <w:lang w:val="uk-UA"/>
              </w:rPr>
              <w:t>Нерозподілений прибуток</w:t>
            </w:r>
          </w:p>
        </w:tc>
        <w:tc>
          <w:tcPr>
            <w:tcW w:w="2371" w:type="dxa"/>
            <w:vAlign w:val="center"/>
          </w:tcPr>
          <w:p w:rsidR="00F91561" w:rsidRDefault="00F91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2104</w:t>
            </w:r>
          </w:p>
        </w:tc>
        <w:tc>
          <w:tcPr>
            <w:tcW w:w="2415" w:type="dxa"/>
            <w:vAlign w:val="center"/>
          </w:tcPr>
          <w:p w:rsidR="00F91561" w:rsidRDefault="00F91561" w:rsidP="00040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2201</w:t>
            </w:r>
          </w:p>
        </w:tc>
      </w:tr>
      <w:tr w:rsidR="00F91561" w:rsidTr="00A92D5E">
        <w:trPr>
          <w:cantSplit/>
          <w:trHeight w:val="294"/>
        </w:trPr>
        <w:tc>
          <w:tcPr>
            <w:tcW w:w="4676" w:type="dxa"/>
            <w:vAlign w:val="center"/>
          </w:tcPr>
          <w:p w:rsidR="00F91561" w:rsidRDefault="00F91561">
            <w:pPr>
              <w:rPr>
                <w:lang w:val="uk-UA"/>
              </w:rPr>
            </w:pPr>
            <w:r>
              <w:rPr>
                <w:lang w:val="uk-UA"/>
              </w:rPr>
              <w:t>Власний капітал</w:t>
            </w:r>
          </w:p>
        </w:tc>
        <w:tc>
          <w:tcPr>
            <w:tcW w:w="2371" w:type="dxa"/>
            <w:vAlign w:val="center"/>
          </w:tcPr>
          <w:p w:rsidR="00F91561" w:rsidRDefault="00F91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3193</w:t>
            </w:r>
          </w:p>
        </w:tc>
        <w:tc>
          <w:tcPr>
            <w:tcW w:w="2415" w:type="dxa"/>
            <w:vAlign w:val="center"/>
          </w:tcPr>
          <w:p w:rsidR="00F91561" w:rsidRDefault="00F91561" w:rsidP="00040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3290</w:t>
            </w:r>
          </w:p>
        </w:tc>
      </w:tr>
      <w:tr w:rsidR="00F91561" w:rsidTr="00A92D5E">
        <w:trPr>
          <w:cantSplit/>
          <w:trHeight w:val="294"/>
        </w:trPr>
        <w:tc>
          <w:tcPr>
            <w:tcW w:w="4676" w:type="dxa"/>
            <w:vAlign w:val="center"/>
          </w:tcPr>
          <w:p w:rsidR="00F91561" w:rsidRDefault="00F91561">
            <w:pPr>
              <w:rPr>
                <w:lang w:val="uk-UA"/>
              </w:rPr>
            </w:pPr>
            <w:r>
              <w:rPr>
                <w:lang w:val="uk-UA"/>
              </w:rPr>
              <w:t>Статутний капітал</w:t>
            </w:r>
          </w:p>
        </w:tc>
        <w:tc>
          <w:tcPr>
            <w:tcW w:w="2371" w:type="dxa"/>
            <w:vAlign w:val="center"/>
          </w:tcPr>
          <w:p w:rsidR="00F91561" w:rsidRDefault="00F91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258</w:t>
            </w:r>
          </w:p>
        </w:tc>
        <w:tc>
          <w:tcPr>
            <w:tcW w:w="2415" w:type="dxa"/>
            <w:vAlign w:val="center"/>
          </w:tcPr>
          <w:p w:rsidR="00F91561" w:rsidRDefault="00F91561" w:rsidP="00040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258</w:t>
            </w:r>
          </w:p>
        </w:tc>
      </w:tr>
      <w:tr w:rsidR="00F91561" w:rsidTr="00A92D5E">
        <w:trPr>
          <w:cantSplit/>
          <w:trHeight w:val="294"/>
        </w:trPr>
        <w:tc>
          <w:tcPr>
            <w:tcW w:w="4676" w:type="dxa"/>
            <w:vAlign w:val="center"/>
          </w:tcPr>
          <w:p w:rsidR="00F91561" w:rsidRDefault="00F91561">
            <w:pPr>
              <w:rPr>
                <w:lang w:val="uk-UA"/>
              </w:rPr>
            </w:pPr>
            <w:r>
              <w:rPr>
                <w:lang w:val="uk-UA"/>
              </w:rPr>
              <w:t>Довгострокові зобов’язання</w:t>
            </w:r>
          </w:p>
        </w:tc>
        <w:tc>
          <w:tcPr>
            <w:tcW w:w="2371" w:type="dxa"/>
            <w:vAlign w:val="center"/>
          </w:tcPr>
          <w:p w:rsidR="00F91561" w:rsidRDefault="00F91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15" w:type="dxa"/>
            <w:vAlign w:val="center"/>
          </w:tcPr>
          <w:p w:rsidR="00F91561" w:rsidRDefault="00F91561" w:rsidP="00040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  <w:tr w:rsidR="00F91561" w:rsidTr="00A92D5E">
        <w:trPr>
          <w:cantSplit/>
          <w:trHeight w:val="294"/>
        </w:trPr>
        <w:tc>
          <w:tcPr>
            <w:tcW w:w="4676" w:type="dxa"/>
            <w:vAlign w:val="center"/>
          </w:tcPr>
          <w:p w:rsidR="00F91561" w:rsidRDefault="00F91561">
            <w:pPr>
              <w:rPr>
                <w:lang w:val="uk-UA"/>
              </w:rPr>
            </w:pPr>
            <w:r>
              <w:rPr>
                <w:lang w:val="uk-UA"/>
              </w:rPr>
              <w:t>Поточні зобов’язання</w:t>
            </w:r>
          </w:p>
        </w:tc>
        <w:tc>
          <w:tcPr>
            <w:tcW w:w="2371" w:type="dxa"/>
            <w:vAlign w:val="center"/>
          </w:tcPr>
          <w:p w:rsidR="00F91561" w:rsidRDefault="00F91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2281</w:t>
            </w:r>
          </w:p>
        </w:tc>
        <w:tc>
          <w:tcPr>
            <w:tcW w:w="2415" w:type="dxa"/>
            <w:vAlign w:val="center"/>
          </w:tcPr>
          <w:p w:rsidR="00F91561" w:rsidRDefault="00F91561" w:rsidP="00040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2419</w:t>
            </w:r>
          </w:p>
        </w:tc>
      </w:tr>
      <w:tr w:rsidR="00F91561" w:rsidTr="00A92D5E">
        <w:trPr>
          <w:cantSplit/>
          <w:trHeight w:val="294"/>
        </w:trPr>
        <w:tc>
          <w:tcPr>
            <w:tcW w:w="4676" w:type="dxa"/>
            <w:vAlign w:val="center"/>
          </w:tcPr>
          <w:p w:rsidR="00F91561" w:rsidRDefault="00F91561">
            <w:pPr>
              <w:rPr>
                <w:lang w:val="uk-UA"/>
              </w:rPr>
            </w:pPr>
            <w:r>
              <w:rPr>
                <w:lang w:val="uk-UA"/>
              </w:rPr>
              <w:t>Чистий прибуток (збиток)</w:t>
            </w:r>
          </w:p>
        </w:tc>
        <w:tc>
          <w:tcPr>
            <w:tcW w:w="2371" w:type="dxa"/>
            <w:vAlign w:val="center"/>
          </w:tcPr>
          <w:p w:rsidR="00F91561" w:rsidRDefault="00F91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(–97)</w:t>
            </w:r>
          </w:p>
        </w:tc>
        <w:tc>
          <w:tcPr>
            <w:tcW w:w="2415" w:type="dxa"/>
            <w:vAlign w:val="center"/>
          </w:tcPr>
          <w:p w:rsidR="00F91561" w:rsidRDefault="00F91561" w:rsidP="00040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R="00F91561" w:rsidTr="00A92D5E">
        <w:trPr>
          <w:cantSplit/>
          <w:trHeight w:val="294"/>
        </w:trPr>
        <w:tc>
          <w:tcPr>
            <w:tcW w:w="4676" w:type="dxa"/>
            <w:vAlign w:val="center"/>
          </w:tcPr>
          <w:p w:rsidR="00F91561" w:rsidRDefault="00F91561">
            <w:pPr>
              <w:rPr>
                <w:lang w:val="uk-UA"/>
              </w:rPr>
            </w:pPr>
            <w:r>
              <w:rPr>
                <w:lang w:val="uk-UA"/>
              </w:rPr>
              <w:t>Середньорічна кількість акцій (шт.)</w:t>
            </w:r>
          </w:p>
        </w:tc>
        <w:tc>
          <w:tcPr>
            <w:tcW w:w="2371" w:type="dxa"/>
            <w:vAlign w:val="center"/>
          </w:tcPr>
          <w:p w:rsidR="00F91561" w:rsidRDefault="00F91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1032148</w:t>
            </w:r>
          </w:p>
        </w:tc>
        <w:tc>
          <w:tcPr>
            <w:tcW w:w="2415" w:type="dxa"/>
            <w:vAlign w:val="center"/>
          </w:tcPr>
          <w:p w:rsidR="00F91561" w:rsidRDefault="00F91561" w:rsidP="00040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1032148</w:t>
            </w:r>
          </w:p>
        </w:tc>
      </w:tr>
      <w:tr w:rsidR="00F91561" w:rsidTr="00A92D5E">
        <w:trPr>
          <w:cantSplit/>
          <w:trHeight w:val="294"/>
        </w:trPr>
        <w:tc>
          <w:tcPr>
            <w:tcW w:w="4676" w:type="dxa"/>
            <w:vAlign w:val="center"/>
          </w:tcPr>
          <w:p w:rsidR="00F91561" w:rsidRDefault="00F91561">
            <w:pPr>
              <w:rPr>
                <w:lang w:val="uk-UA"/>
              </w:rPr>
            </w:pPr>
            <w:r>
              <w:rPr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2371" w:type="dxa"/>
            <w:vAlign w:val="center"/>
          </w:tcPr>
          <w:p w:rsidR="00F91561" w:rsidRDefault="00F91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15" w:type="dxa"/>
            <w:vAlign w:val="center"/>
          </w:tcPr>
          <w:p w:rsidR="00F91561" w:rsidRDefault="00F91561" w:rsidP="00040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91561" w:rsidTr="00A92D5E">
        <w:trPr>
          <w:cantSplit/>
          <w:trHeight w:val="294"/>
        </w:trPr>
        <w:tc>
          <w:tcPr>
            <w:tcW w:w="4676" w:type="dxa"/>
            <w:vAlign w:val="center"/>
          </w:tcPr>
          <w:p w:rsidR="00F91561" w:rsidRDefault="00F91561">
            <w:pPr>
              <w:rPr>
                <w:lang w:val="uk-UA"/>
              </w:rPr>
            </w:pPr>
            <w:r>
              <w:rPr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2371" w:type="dxa"/>
            <w:vAlign w:val="center"/>
          </w:tcPr>
          <w:p w:rsidR="00F91561" w:rsidRDefault="00F91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15" w:type="dxa"/>
            <w:vAlign w:val="center"/>
          </w:tcPr>
          <w:p w:rsidR="00F91561" w:rsidRDefault="00F91561" w:rsidP="00040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91561" w:rsidTr="00A92D5E">
        <w:trPr>
          <w:cantSplit/>
          <w:trHeight w:val="294"/>
        </w:trPr>
        <w:tc>
          <w:tcPr>
            <w:tcW w:w="4676" w:type="dxa"/>
            <w:vAlign w:val="center"/>
          </w:tcPr>
          <w:p w:rsidR="00F91561" w:rsidRDefault="00F91561">
            <w:pPr>
              <w:rPr>
                <w:lang w:val="uk-UA"/>
              </w:rPr>
            </w:pPr>
            <w:r>
              <w:rPr>
                <w:lang w:val="uk-UA"/>
              </w:rPr>
              <w:t>Чисельність працівників на кінець періоду</w:t>
            </w:r>
          </w:p>
        </w:tc>
        <w:tc>
          <w:tcPr>
            <w:tcW w:w="2371" w:type="dxa"/>
            <w:vAlign w:val="center"/>
          </w:tcPr>
          <w:p w:rsidR="00F91561" w:rsidRDefault="00F91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415" w:type="dxa"/>
            <w:vAlign w:val="center"/>
          </w:tcPr>
          <w:p w:rsidR="00F91561" w:rsidRDefault="00F91561" w:rsidP="00040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</w:tr>
    </w:tbl>
    <w:p w:rsidR="00F91561" w:rsidRDefault="00F91561" w:rsidP="006A11F1">
      <w:pPr>
        <w:rPr>
          <w:lang w:val="uk-UA"/>
        </w:rPr>
      </w:pPr>
    </w:p>
    <w:p w:rsidR="00F91561" w:rsidRPr="00136498" w:rsidRDefault="00F91561" w:rsidP="006A11F1">
      <w:pPr>
        <w:rPr>
          <w:lang w:val="uk-UA"/>
        </w:rPr>
      </w:pPr>
    </w:p>
    <w:p w:rsidR="00F91561" w:rsidRPr="00465C5F" w:rsidRDefault="00F91561" w:rsidP="006A11F1">
      <w:pPr>
        <w:rPr>
          <w:b/>
          <w:lang w:val="uk-UA"/>
        </w:rPr>
      </w:pPr>
      <w:r w:rsidRPr="00465C5F">
        <w:rPr>
          <w:b/>
          <w:lang w:val="uk-UA"/>
        </w:rPr>
        <w:t>Проекти рішень з питань порядку денного:</w:t>
      </w:r>
    </w:p>
    <w:p w:rsidR="00F91561" w:rsidRDefault="00F91561" w:rsidP="006A11F1">
      <w:pPr>
        <w:rPr>
          <w:lang w:val="uk-UA"/>
        </w:rPr>
      </w:pPr>
    </w:p>
    <w:p w:rsidR="00F91561" w:rsidRPr="00465C5F" w:rsidRDefault="00F91561" w:rsidP="00465C5F">
      <w:pPr>
        <w:spacing w:line="360" w:lineRule="auto"/>
        <w:ind w:firstLine="709"/>
        <w:rPr>
          <w:i/>
          <w:u w:val="single"/>
          <w:lang w:val="uk-UA"/>
        </w:rPr>
      </w:pPr>
      <w:r w:rsidRPr="00465C5F">
        <w:rPr>
          <w:i/>
          <w:u w:val="single"/>
          <w:lang w:val="uk-UA"/>
        </w:rPr>
        <w:t>По 1 питанню порядку денного:</w:t>
      </w:r>
    </w:p>
    <w:p w:rsidR="00F91561" w:rsidRDefault="00F91561" w:rsidP="00465C5F">
      <w:pPr>
        <w:ind w:firstLine="709"/>
        <w:rPr>
          <w:lang w:val="uk-UA"/>
        </w:rPr>
      </w:pPr>
      <w:r>
        <w:rPr>
          <w:lang w:val="uk-UA"/>
        </w:rPr>
        <w:t>Обрати лічильну комісію у складі:</w:t>
      </w:r>
    </w:p>
    <w:p w:rsidR="00F91561" w:rsidRDefault="00F91561" w:rsidP="00465C5F">
      <w:pPr>
        <w:ind w:firstLine="708"/>
        <w:rPr>
          <w:lang w:val="uk-UA"/>
        </w:rPr>
      </w:pPr>
      <w:r>
        <w:rPr>
          <w:lang w:val="uk-UA"/>
        </w:rPr>
        <w:t>Жук Г.П. – голова лічильної комісії.</w:t>
      </w:r>
    </w:p>
    <w:p w:rsidR="00F91561" w:rsidRDefault="00F91561" w:rsidP="00465C5F">
      <w:pPr>
        <w:ind w:firstLine="708"/>
        <w:rPr>
          <w:lang w:val="uk-UA"/>
        </w:rPr>
      </w:pPr>
      <w:r>
        <w:rPr>
          <w:lang w:val="uk-UA"/>
        </w:rPr>
        <w:t>Шеремет В.А. – член лічильної комісії.</w:t>
      </w:r>
    </w:p>
    <w:p w:rsidR="00F91561" w:rsidRPr="00136498" w:rsidRDefault="00F91561" w:rsidP="00465C5F">
      <w:pPr>
        <w:ind w:firstLine="708"/>
        <w:rPr>
          <w:lang w:val="uk-UA"/>
        </w:rPr>
      </w:pPr>
    </w:p>
    <w:p w:rsidR="00F91561" w:rsidRPr="00465C5F" w:rsidRDefault="00F91561" w:rsidP="003802E8">
      <w:pPr>
        <w:spacing w:line="360" w:lineRule="auto"/>
        <w:ind w:firstLine="709"/>
        <w:rPr>
          <w:i/>
          <w:u w:val="single"/>
          <w:lang w:val="uk-UA"/>
        </w:rPr>
      </w:pPr>
      <w:r w:rsidRPr="00465C5F">
        <w:rPr>
          <w:i/>
          <w:u w:val="single"/>
          <w:lang w:val="uk-UA"/>
        </w:rPr>
        <w:t xml:space="preserve">По </w:t>
      </w:r>
      <w:r>
        <w:rPr>
          <w:i/>
          <w:u w:val="single"/>
          <w:lang w:val="uk-UA"/>
        </w:rPr>
        <w:t>2</w:t>
      </w:r>
      <w:r w:rsidRPr="00465C5F">
        <w:rPr>
          <w:i/>
          <w:u w:val="single"/>
          <w:lang w:val="uk-UA"/>
        </w:rPr>
        <w:t xml:space="preserve"> питанню порядку денного:</w:t>
      </w:r>
    </w:p>
    <w:p w:rsidR="00F91561" w:rsidRDefault="00F91561" w:rsidP="003802E8">
      <w:pPr>
        <w:ind w:firstLine="709"/>
        <w:rPr>
          <w:lang w:val="uk-UA"/>
        </w:rPr>
      </w:pPr>
      <w:r>
        <w:rPr>
          <w:lang w:val="uk-UA"/>
        </w:rPr>
        <w:t>Обрати:</w:t>
      </w:r>
    </w:p>
    <w:p w:rsidR="00F91561" w:rsidRDefault="00F91561" w:rsidP="003802E8">
      <w:pPr>
        <w:ind w:firstLine="709"/>
        <w:rPr>
          <w:lang w:val="uk-UA"/>
        </w:rPr>
      </w:pPr>
      <w:r>
        <w:rPr>
          <w:lang w:val="uk-UA"/>
        </w:rPr>
        <w:t>Головою зборів – Варжеля В.М.</w:t>
      </w:r>
    </w:p>
    <w:p w:rsidR="00F91561" w:rsidRDefault="00F91561" w:rsidP="003802E8">
      <w:pPr>
        <w:ind w:firstLine="709"/>
        <w:rPr>
          <w:lang w:val="uk-UA"/>
        </w:rPr>
      </w:pPr>
      <w:r>
        <w:rPr>
          <w:lang w:val="uk-UA"/>
        </w:rPr>
        <w:t>Секретарем зборів – Голубовського В.М.</w:t>
      </w:r>
    </w:p>
    <w:p w:rsidR="00F91561" w:rsidRDefault="00F91561" w:rsidP="003802E8">
      <w:pPr>
        <w:ind w:firstLine="709"/>
        <w:rPr>
          <w:lang w:val="uk-UA"/>
        </w:rPr>
      </w:pPr>
    </w:p>
    <w:p w:rsidR="00F91561" w:rsidRPr="00465C5F" w:rsidRDefault="00F91561" w:rsidP="003802E8">
      <w:pPr>
        <w:spacing w:line="360" w:lineRule="auto"/>
        <w:ind w:firstLine="709"/>
        <w:rPr>
          <w:i/>
          <w:u w:val="single"/>
          <w:lang w:val="uk-UA"/>
        </w:rPr>
      </w:pPr>
      <w:r w:rsidRPr="00465C5F">
        <w:rPr>
          <w:i/>
          <w:u w:val="single"/>
          <w:lang w:val="uk-UA"/>
        </w:rPr>
        <w:t xml:space="preserve">По </w:t>
      </w:r>
      <w:r>
        <w:rPr>
          <w:i/>
          <w:u w:val="single"/>
          <w:lang w:val="uk-UA"/>
        </w:rPr>
        <w:t>3</w:t>
      </w:r>
      <w:r w:rsidRPr="00465C5F">
        <w:rPr>
          <w:i/>
          <w:u w:val="single"/>
          <w:lang w:val="uk-UA"/>
        </w:rPr>
        <w:t xml:space="preserve"> питанню порядку денного:</w:t>
      </w:r>
    </w:p>
    <w:p w:rsidR="00F91561" w:rsidRDefault="00F91561" w:rsidP="00707377">
      <w:pPr>
        <w:tabs>
          <w:tab w:val="num" w:pos="851"/>
        </w:tabs>
        <w:ind w:left="567"/>
        <w:jc w:val="both"/>
      </w:pPr>
      <w:r>
        <w:rPr>
          <w:lang w:val="uk-UA"/>
        </w:rPr>
        <w:t xml:space="preserve">           </w:t>
      </w:r>
      <w:r>
        <w:t>Затвердити наступний регламент зборів:</w:t>
      </w:r>
    </w:p>
    <w:p w:rsidR="00F91561" w:rsidRDefault="00F91561" w:rsidP="00707377">
      <w:pPr>
        <w:numPr>
          <w:ilvl w:val="0"/>
          <w:numId w:val="2"/>
        </w:numPr>
        <w:jc w:val="both"/>
      </w:pPr>
      <w:r>
        <w:t>для доповідей – до 15 хвилин;</w:t>
      </w:r>
    </w:p>
    <w:p w:rsidR="00F91561" w:rsidRDefault="00F91561" w:rsidP="00707377">
      <w:pPr>
        <w:numPr>
          <w:ilvl w:val="0"/>
          <w:numId w:val="2"/>
        </w:numPr>
        <w:jc w:val="both"/>
      </w:pPr>
      <w:r>
        <w:t>для виступів – до 5 хвилин.</w:t>
      </w:r>
    </w:p>
    <w:p w:rsidR="00F91561" w:rsidRDefault="00F91561" w:rsidP="003802E8">
      <w:pPr>
        <w:rPr>
          <w:lang w:val="uk-UA"/>
        </w:rPr>
      </w:pPr>
    </w:p>
    <w:p w:rsidR="00F91561" w:rsidRPr="00465C5F" w:rsidRDefault="00F91561" w:rsidP="003802E8">
      <w:pPr>
        <w:spacing w:line="360" w:lineRule="auto"/>
        <w:ind w:firstLine="709"/>
        <w:rPr>
          <w:i/>
          <w:u w:val="single"/>
          <w:lang w:val="uk-UA"/>
        </w:rPr>
      </w:pPr>
      <w:r w:rsidRPr="00465C5F">
        <w:rPr>
          <w:i/>
          <w:u w:val="single"/>
          <w:lang w:val="uk-UA"/>
        </w:rPr>
        <w:t xml:space="preserve">По </w:t>
      </w:r>
      <w:r>
        <w:rPr>
          <w:i/>
          <w:u w:val="single"/>
          <w:lang w:val="uk-UA"/>
        </w:rPr>
        <w:t>4</w:t>
      </w:r>
      <w:r w:rsidRPr="00465C5F">
        <w:rPr>
          <w:i/>
          <w:u w:val="single"/>
          <w:lang w:val="uk-UA"/>
        </w:rPr>
        <w:t xml:space="preserve"> питанню порядку денного:</w:t>
      </w:r>
    </w:p>
    <w:p w:rsidR="00F91561" w:rsidRDefault="00F91561" w:rsidP="00707377">
      <w:pPr>
        <w:rPr>
          <w:lang w:val="uk-UA"/>
        </w:rPr>
      </w:pPr>
      <w:r>
        <w:rPr>
          <w:lang w:val="uk-UA"/>
        </w:rPr>
        <w:t>Звіт правління про результати фінансово-господарської діяльності за 2017 рік затвердити.</w:t>
      </w:r>
    </w:p>
    <w:p w:rsidR="00F91561" w:rsidRDefault="00F91561" w:rsidP="003802E8">
      <w:pPr>
        <w:ind w:firstLine="709"/>
        <w:rPr>
          <w:lang w:val="uk-UA"/>
        </w:rPr>
      </w:pPr>
    </w:p>
    <w:p w:rsidR="00F91561" w:rsidRPr="00465C5F" w:rsidRDefault="00F91561" w:rsidP="00905744">
      <w:pPr>
        <w:spacing w:line="360" w:lineRule="auto"/>
        <w:ind w:firstLine="709"/>
        <w:rPr>
          <w:i/>
          <w:u w:val="single"/>
          <w:lang w:val="uk-UA"/>
        </w:rPr>
      </w:pPr>
      <w:r w:rsidRPr="00465C5F">
        <w:rPr>
          <w:i/>
          <w:u w:val="single"/>
          <w:lang w:val="uk-UA"/>
        </w:rPr>
        <w:t xml:space="preserve">По </w:t>
      </w:r>
      <w:r>
        <w:rPr>
          <w:i/>
          <w:u w:val="single"/>
          <w:lang w:val="uk-UA"/>
        </w:rPr>
        <w:t>5</w:t>
      </w:r>
      <w:r w:rsidRPr="00465C5F">
        <w:rPr>
          <w:i/>
          <w:u w:val="single"/>
          <w:lang w:val="uk-UA"/>
        </w:rPr>
        <w:t xml:space="preserve"> питанню порядку денного:</w:t>
      </w:r>
    </w:p>
    <w:p w:rsidR="00F91561" w:rsidRDefault="00F91561" w:rsidP="00707377">
      <w:pPr>
        <w:ind w:firstLine="709"/>
        <w:rPr>
          <w:lang w:val="uk-UA"/>
        </w:rPr>
      </w:pPr>
      <w:r>
        <w:rPr>
          <w:lang w:val="uk-UA"/>
        </w:rPr>
        <w:t>Річну фінансову звітність затвердити.</w:t>
      </w:r>
    </w:p>
    <w:p w:rsidR="00F91561" w:rsidRDefault="00F91561" w:rsidP="003802E8">
      <w:pPr>
        <w:ind w:firstLine="709"/>
        <w:rPr>
          <w:lang w:val="uk-UA"/>
        </w:rPr>
      </w:pPr>
    </w:p>
    <w:p w:rsidR="00F91561" w:rsidRPr="00465C5F" w:rsidRDefault="00F91561" w:rsidP="00707377">
      <w:pPr>
        <w:spacing w:line="360" w:lineRule="auto"/>
        <w:ind w:firstLine="709"/>
        <w:rPr>
          <w:i/>
          <w:u w:val="single"/>
          <w:lang w:val="uk-UA"/>
        </w:rPr>
      </w:pPr>
      <w:r w:rsidRPr="00465C5F">
        <w:rPr>
          <w:i/>
          <w:u w:val="single"/>
          <w:lang w:val="uk-UA"/>
        </w:rPr>
        <w:t>По</w:t>
      </w:r>
      <w:r>
        <w:rPr>
          <w:i/>
          <w:u w:val="single"/>
          <w:lang w:val="uk-UA"/>
        </w:rPr>
        <w:t xml:space="preserve"> 6</w:t>
      </w:r>
      <w:r w:rsidRPr="00465C5F">
        <w:rPr>
          <w:i/>
          <w:u w:val="single"/>
          <w:lang w:val="uk-UA"/>
        </w:rPr>
        <w:t xml:space="preserve"> питанню порядку денного:</w:t>
      </w:r>
    </w:p>
    <w:p w:rsidR="00F91561" w:rsidRDefault="00F91561" w:rsidP="00707377">
      <w:pPr>
        <w:ind w:firstLine="709"/>
        <w:rPr>
          <w:lang w:val="uk-UA"/>
        </w:rPr>
      </w:pPr>
      <w:r>
        <w:rPr>
          <w:lang w:val="uk-UA"/>
        </w:rPr>
        <w:t>Резервний капітал не формувати у зв’язку із збитками в 2017 році.</w:t>
      </w:r>
    </w:p>
    <w:p w:rsidR="00F91561" w:rsidRPr="00136498" w:rsidRDefault="00F91561" w:rsidP="003802E8">
      <w:pPr>
        <w:ind w:firstLine="709"/>
        <w:rPr>
          <w:lang w:val="uk-UA"/>
        </w:rPr>
      </w:pPr>
    </w:p>
    <w:p w:rsidR="00F91561" w:rsidRPr="00136498" w:rsidRDefault="00F91561" w:rsidP="00892F2E">
      <w:pPr>
        <w:rPr>
          <w:lang w:val="uk-UA"/>
        </w:rPr>
      </w:pPr>
    </w:p>
    <w:sectPr w:rsidR="00F91561" w:rsidRPr="00136498" w:rsidSect="00A92D5E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561" w:rsidRDefault="00F91561" w:rsidP="00AA7523">
      <w:r>
        <w:separator/>
      </w:r>
    </w:p>
  </w:endnote>
  <w:endnote w:type="continuationSeparator" w:id="1">
    <w:p w:rsidR="00F91561" w:rsidRDefault="00F91561" w:rsidP="00AA7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561" w:rsidRDefault="00F91561" w:rsidP="00AA7523">
      <w:r>
        <w:separator/>
      </w:r>
    </w:p>
  </w:footnote>
  <w:footnote w:type="continuationSeparator" w:id="1">
    <w:p w:rsidR="00F91561" w:rsidRDefault="00F91561" w:rsidP="00AA7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428A"/>
    <w:multiLevelType w:val="hybridMultilevel"/>
    <w:tmpl w:val="5EBE3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DA521E"/>
    <w:multiLevelType w:val="hybridMultilevel"/>
    <w:tmpl w:val="98EC221C"/>
    <w:lvl w:ilvl="0" w:tplc="16B0E67A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F1"/>
    <w:rsid w:val="00040D9A"/>
    <w:rsid w:val="00097B94"/>
    <w:rsid w:val="00136498"/>
    <w:rsid w:val="00175B3B"/>
    <w:rsid w:val="001C1355"/>
    <w:rsid w:val="00224579"/>
    <w:rsid w:val="002B7E77"/>
    <w:rsid w:val="00304B2E"/>
    <w:rsid w:val="003412BA"/>
    <w:rsid w:val="00346F10"/>
    <w:rsid w:val="003802E8"/>
    <w:rsid w:val="0038343C"/>
    <w:rsid w:val="003838EC"/>
    <w:rsid w:val="00465C5F"/>
    <w:rsid w:val="004851BD"/>
    <w:rsid w:val="004A0CEA"/>
    <w:rsid w:val="004B59FD"/>
    <w:rsid w:val="004C6450"/>
    <w:rsid w:val="00503CC1"/>
    <w:rsid w:val="00504403"/>
    <w:rsid w:val="0055662F"/>
    <w:rsid w:val="00600C42"/>
    <w:rsid w:val="00600DAD"/>
    <w:rsid w:val="006052C7"/>
    <w:rsid w:val="00612BEC"/>
    <w:rsid w:val="00626F1D"/>
    <w:rsid w:val="0068361B"/>
    <w:rsid w:val="006A11F1"/>
    <w:rsid w:val="006B31F2"/>
    <w:rsid w:val="006B6F1D"/>
    <w:rsid w:val="00707377"/>
    <w:rsid w:val="00775709"/>
    <w:rsid w:val="008361ED"/>
    <w:rsid w:val="008534C2"/>
    <w:rsid w:val="00892F2E"/>
    <w:rsid w:val="008B08E1"/>
    <w:rsid w:val="00905744"/>
    <w:rsid w:val="00A92D5E"/>
    <w:rsid w:val="00AA7523"/>
    <w:rsid w:val="00AC3854"/>
    <w:rsid w:val="00AF2A27"/>
    <w:rsid w:val="00C045A3"/>
    <w:rsid w:val="00C534EE"/>
    <w:rsid w:val="00C65E8D"/>
    <w:rsid w:val="00CE5F59"/>
    <w:rsid w:val="00D23591"/>
    <w:rsid w:val="00D636D9"/>
    <w:rsid w:val="00DD519A"/>
    <w:rsid w:val="00E55D83"/>
    <w:rsid w:val="00EF4052"/>
    <w:rsid w:val="00F124E1"/>
    <w:rsid w:val="00F9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F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11F1"/>
    <w:pPr>
      <w:keepNext/>
      <w:jc w:val="center"/>
      <w:outlineLvl w:val="0"/>
    </w:pPr>
    <w:rPr>
      <w:sz w:val="32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11F1"/>
    <w:pPr>
      <w:keepNext/>
      <w:outlineLvl w:val="5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11F1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A11F1"/>
    <w:rPr>
      <w:rFonts w:ascii="Times New Roman" w:hAnsi="Times New Roman" w:cs="Times New Roman"/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semiHidden/>
    <w:rsid w:val="00AA752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752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A7523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7523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F2A2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052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3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vnelift.pat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525</Words>
  <Characters>2998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ПрАТ «Рівнеліфт» (код за ЄДРПОУ 05523808; місце знаходження: 33005, м</dc:title>
  <dc:subject/>
  <dc:creator>Саньок</dc:creator>
  <cp:keywords/>
  <dc:description/>
  <cp:lastModifiedBy>2</cp:lastModifiedBy>
  <cp:revision>2</cp:revision>
  <cp:lastPrinted>2017-02-21T08:03:00Z</cp:lastPrinted>
  <dcterms:created xsi:type="dcterms:W3CDTF">2018-02-28T10:28:00Z</dcterms:created>
  <dcterms:modified xsi:type="dcterms:W3CDTF">2018-02-28T10:28:00Z</dcterms:modified>
</cp:coreProperties>
</file>